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70DD" w14:textId="77777777" w:rsidR="00602DEB" w:rsidRDefault="00602DEB" w:rsidP="00C77710">
      <w:pPr>
        <w:spacing w:line="480" w:lineRule="auto"/>
        <w:ind w:firstLine="720"/>
        <w:rPr>
          <w:rFonts w:hint="eastAsia"/>
        </w:rPr>
      </w:pPr>
    </w:p>
    <w:p w14:paraId="67E03DD2" w14:textId="5CEF779C" w:rsidR="00C77710" w:rsidRDefault="00913E49" w:rsidP="00C77710">
      <w:pPr>
        <w:spacing w:line="480" w:lineRule="auto"/>
        <w:ind w:firstLine="720"/>
      </w:pPr>
      <w:r>
        <w:t xml:space="preserve">Two-thirds </w:t>
      </w:r>
      <w:r w:rsidR="00C77710">
        <w:t>Bonds Won’t Steal School Money</w:t>
      </w:r>
    </w:p>
    <w:p w14:paraId="42384C07" w14:textId="77777777" w:rsidR="00C77710" w:rsidRDefault="00C77710" w:rsidP="00C77710">
      <w:pPr>
        <w:spacing w:line="480" w:lineRule="auto"/>
        <w:ind w:firstLine="720"/>
      </w:pPr>
    </w:p>
    <w:p w14:paraId="31F9BE6A" w14:textId="1BF6791E" w:rsidR="00C77710" w:rsidRDefault="00C77710" w:rsidP="00C77710">
      <w:pPr>
        <w:spacing w:line="480" w:lineRule="auto"/>
        <w:ind w:firstLine="720"/>
      </w:pPr>
      <w:r>
        <w:t xml:space="preserve">There’s been a lot of chatter on social media lately claiming that Guilford County is planning to take money away from schools to pay for new county buildings and a massive new consultant recommended county government wide renovation and capital project.  </w:t>
      </w:r>
    </w:p>
    <w:p w14:paraId="33580040" w14:textId="16D4F45B" w:rsidR="00C77710" w:rsidRDefault="00C77710" w:rsidP="00C77710">
      <w:pPr>
        <w:spacing w:line="480" w:lineRule="auto"/>
        <w:ind w:firstLine="720"/>
      </w:pPr>
      <w:r>
        <w:t>If county staff and commissioners move forward with the giant project, or even major parts of it, it will need to take on more debt, however that debt will on top of, rather than in place of, the 3 billion plus in school bond debt the county is taking on to fund school projects.  The voters have approved 2 billion in school bond debt in recent years and it’s the interest that put it over 3 billion.</w:t>
      </w:r>
    </w:p>
    <w:p w14:paraId="550AB29C" w14:textId="41634830" w:rsidR="00C77710" w:rsidRDefault="00C77710" w:rsidP="00C77710">
      <w:pPr>
        <w:spacing w:line="480" w:lineRule="auto"/>
        <w:ind w:firstLine="720"/>
      </w:pPr>
      <w:r>
        <w:t>The confusion seems to stem from the county’s use of what are called “two-thirds bonds,” which were discussed earlier this year in a county work session and reported in a recent Rhino Times.  Consultants identified a roughly $572 million capital improvement plan needs that include everything from building repairs to possible new downtown government complexes in Greensboro an</w:t>
      </w:r>
      <w:r w:rsidR="00D1675E">
        <w:t>d</w:t>
      </w:r>
      <w:r>
        <w:t xml:space="preserve"> High Point.</w:t>
      </w:r>
    </w:p>
    <w:p w14:paraId="5466FCB6" w14:textId="5774AEC4" w:rsidR="00C77710" w:rsidRDefault="00C77710" w:rsidP="00C77710">
      <w:pPr>
        <w:spacing w:line="480" w:lineRule="auto"/>
        <w:ind w:firstLine="720"/>
      </w:pPr>
      <w:r>
        <w:t>However, in some Facebook, Instagram, Twitter and Neighborhood specific apps, some posts online are claiming, those two-thirds bonds won’t pull a single dollar from the $3 billion in school bond funding that voters approved.</w:t>
      </w:r>
    </w:p>
    <w:p w14:paraId="0DF9C4C3" w14:textId="63035E64" w:rsidR="00C77710" w:rsidRDefault="00C77710" w:rsidP="00C77710">
      <w:pPr>
        <w:spacing w:line="480" w:lineRule="auto"/>
        <w:ind w:firstLine="720"/>
      </w:pPr>
      <w:r>
        <w:t>Guilford County Deputy Manager Toy Beeninga said the school bond money is legally tied to the bond orders that voters approved and has to be spend for that purpose. That funding can only be used for school projects – period.</w:t>
      </w:r>
    </w:p>
    <w:p w14:paraId="41FE1CDE" w14:textId="77777777" w:rsidR="00C77710" w:rsidRDefault="00C77710" w:rsidP="00C77710">
      <w:pPr>
        <w:spacing w:line="480" w:lineRule="auto"/>
        <w:ind w:firstLine="720"/>
      </w:pPr>
      <w:r>
        <w:t>“There’s no mechanism where we can take that money and shift it over to county buildings,” Beeninga said in a recent conversation.</w:t>
      </w:r>
    </w:p>
    <w:p w14:paraId="4CA65B0C" w14:textId="5EF2A47F" w:rsidR="00C77710" w:rsidRDefault="00C77710" w:rsidP="00C77710">
      <w:pPr>
        <w:spacing w:line="480" w:lineRule="auto"/>
        <w:ind w:firstLine="720"/>
      </w:pPr>
      <w:proofErr w:type="gramStart"/>
      <w:r>
        <w:t>So</w:t>
      </w:r>
      <w:proofErr w:type="gramEnd"/>
      <w:r>
        <w:t xml:space="preserve"> where’s the confusion coming from?</w:t>
      </w:r>
    </w:p>
    <w:p w14:paraId="24FFB281" w14:textId="254D4103" w:rsidR="00C77710" w:rsidRDefault="00C77710" w:rsidP="00C77710">
      <w:pPr>
        <w:spacing w:line="480" w:lineRule="auto"/>
        <w:ind w:firstLine="720"/>
      </w:pPr>
      <w:r>
        <w:t>It’s largely about how two-thirds bonds work, which are complex, poorly understood and reported on infrequently.</w:t>
      </w:r>
    </w:p>
    <w:p w14:paraId="006FBBDC" w14:textId="2B21E509" w:rsidR="00C77710" w:rsidRDefault="00C77710" w:rsidP="00C77710">
      <w:pPr>
        <w:spacing w:line="480" w:lineRule="auto"/>
        <w:ind w:firstLine="720"/>
      </w:pPr>
      <w:r>
        <w:t>Two-thirds bonds allow a county or other local government in North Carolina to borrow additional money without going back to voters – but only up to a limit based on how much existing debt the county has already paid down.</w:t>
      </w:r>
      <w:r w:rsidR="000C54F9">
        <w:t xml:space="preserve">  In essence, in years when the county pays back debt on voter approved bond apps,</w:t>
      </w:r>
    </w:p>
    <w:p w14:paraId="56288CCD" w14:textId="77777777" w:rsidR="00C77710" w:rsidRDefault="00C77710" w:rsidP="00C77710">
      <w:pPr>
        <w:spacing w:line="480" w:lineRule="auto"/>
        <w:ind w:firstLine="720"/>
      </w:pPr>
      <w:r>
        <w:t>While the school bonds and the county’s proposed capital plan exist side by side, they are separate streams of borrowing. One does not reduce or redirect the other.</w:t>
      </w:r>
    </w:p>
    <w:p w14:paraId="6CAE6DEF" w14:textId="77777777" w:rsidR="00C77710" w:rsidRDefault="00C77710" w:rsidP="00C77710">
      <w:pPr>
        <w:spacing w:line="480" w:lineRule="auto"/>
        <w:ind w:firstLine="720"/>
      </w:pPr>
      <w:r>
        <w:t>However, that doesn’t mean there aren’t real concerns.</w:t>
      </w:r>
    </w:p>
    <w:p w14:paraId="7ABC6561" w14:textId="77777777" w:rsidR="00C77710" w:rsidRDefault="00C77710" w:rsidP="00C77710">
      <w:pPr>
        <w:spacing w:line="480" w:lineRule="auto"/>
        <w:ind w:firstLine="720"/>
      </w:pPr>
      <w:r>
        <w:t>Because even though the county isn’t “taking” school money, it is layering additional debt on top of an already massive amount of school-related borrowing.</w:t>
      </w:r>
    </w:p>
    <w:p w14:paraId="288A284F" w14:textId="03770635" w:rsidR="00C77710" w:rsidRDefault="00C77710" w:rsidP="00C77710">
      <w:pPr>
        <w:spacing w:line="480" w:lineRule="auto"/>
        <w:ind w:firstLine="720"/>
      </w:pPr>
      <w:r>
        <w:t xml:space="preserve">And </w:t>
      </w:r>
      <w:r w:rsidR="000C54F9">
        <w:t>county funds are already</w:t>
      </w:r>
      <w:r>
        <w:t xml:space="preserve"> tight</w:t>
      </w:r>
      <w:r w:rsidR="000C54F9">
        <w:t xml:space="preserve"> thanks to excessive spending in the last half decade.</w:t>
      </w:r>
    </w:p>
    <w:p w14:paraId="57393218" w14:textId="714F8430" w:rsidR="00C77710" w:rsidRDefault="00C77710" w:rsidP="00C77710">
      <w:pPr>
        <w:spacing w:line="480" w:lineRule="auto"/>
        <w:ind w:firstLine="720"/>
      </w:pPr>
      <w:r>
        <w:t>County staff made it clear that the roughly $57</w:t>
      </w:r>
      <w:r w:rsidR="000C54F9">
        <w:t>2</w:t>
      </w:r>
      <w:r>
        <w:t xml:space="preserve"> million capital improvement plan presented earlier this year isn</w:t>
      </w:r>
      <w:r w:rsidR="000C54F9">
        <w:t>’</w:t>
      </w:r>
      <w:r>
        <w:t>t a final recommendation – it’s a needs assessment compiled with the help of an outside consultant.</w:t>
      </w:r>
    </w:p>
    <w:p w14:paraId="4843A2ED" w14:textId="10395D22" w:rsidR="00C77710" w:rsidRDefault="000C54F9" w:rsidP="00C77710">
      <w:pPr>
        <w:spacing w:line="480" w:lineRule="auto"/>
        <w:ind w:firstLine="720"/>
      </w:pPr>
      <w:r>
        <w:t xml:space="preserve">Staff have </w:t>
      </w:r>
      <w:r w:rsidR="00C77710">
        <w:t xml:space="preserve"> indicated </w:t>
      </w:r>
      <w:r>
        <w:t xml:space="preserve">to the commissioners </w:t>
      </w:r>
      <w:r w:rsidR="00C77710">
        <w:t>that fully funding that entire list would likely push the county beyond its own debt policy limits</w:t>
      </w:r>
      <w:r>
        <w:t>, though there are</w:t>
      </w:r>
    </w:p>
    <w:p w14:paraId="65CE40A0" w14:textId="77777777" w:rsidR="00C77710" w:rsidRDefault="00C77710" w:rsidP="00C77710">
      <w:pPr>
        <w:spacing w:line="480" w:lineRule="auto"/>
        <w:ind w:firstLine="720"/>
      </w:pPr>
      <w:r>
        <w:t>That’s why commissioners and staff are now in the middle of an ongoing debate over what should actually be included in the final plan.</w:t>
      </w:r>
    </w:p>
    <w:p w14:paraId="349234DC" w14:textId="1C0E8E27" w:rsidR="00C77710" w:rsidRDefault="00C77710" w:rsidP="00C77710">
      <w:pPr>
        <w:spacing w:line="480" w:lineRule="auto"/>
        <w:ind w:firstLine="720"/>
      </w:pPr>
      <w:r>
        <w:t xml:space="preserve">Some projects – like critical repairs to aging facilities, jail infrastructure, and failing building systems – </w:t>
      </w:r>
      <w:r w:rsidR="000C54F9">
        <w:t>will no doubt</w:t>
      </w:r>
      <w:r>
        <w:t xml:space="preserve"> to rise to the top.</w:t>
      </w:r>
    </w:p>
    <w:p w14:paraId="6802A3A0" w14:textId="44373252" w:rsidR="00C77710" w:rsidRDefault="00C77710" w:rsidP="00C77710">
      <w:pPr>
        <w:spacing w:line="480" w:lineRule="auto"/>
        <w:ind w:firstLine="720"/>
      </w:pPr>
      <w:r>
        <w:t xml:space="preserve">Others </w:t>
      </w:r>
      <w:r w:rsidR="000C54F9">
        <w:t>– like the proposed “$2 million treehouse” at a county park, may get the axe from the commissioners.</w:t>
      </w:r>
    </w:p>
    <w:p w14:paraId="484C2ACF" w14:textId="7ED55417" w:rsidR="00C77710" w:rsidRDefault="000C54F9" w:rsidP="00C77710">
      <w:pPr>
        <w:spacing w:line="480" w:lineRule="auto"/>
        <w:ind w:firstLine="720"/>
      </w:pPr>
      <w:r>
        <w:t>G</w:t>
      </w:r>
      <w:r w:rsidR="00C77710">
        <w:t xml:space="preserve">iven current financial constraints, it’s widely expected the board will have to scale the plan back before </w:t>
      </w:r>
      <w:r>
        <w:t xml:space="preserve">formally </w:t>
      </w:r>
      <w:r w:rsidR="00C77710">
        <w:t>adopting</w:t>
      </w:r>
      <w:r>
        <w:t xml:space="preserve"> it.</w:t>
      </w:r>
    </w:p>
    <w:p w14:paraId="5212B240" w14:textId="1FBEB264" w:rsidR="00A06C03" w:rsidRPr="00C77710" w:rsidRDefault="00A06C03" w:rsidP="00C77710">
      <w:pPr>
        <w:spacing w:line="480" w:lineRule="auto"/>
        <w:ind w:firstLine="720"/>
      </w:pPr>
    </w:p>
    <w:sectPr w:rsidR="00A06C03" w:rsidRPr="00C77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Body CS)">
    <w:altName w:val="Arial"/>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10"/>
    <w:rsid w:val="000A3E5A"/>
    <w:rsid w:val="000C54F9"/>
    <w:rsid w:val="00206406"/>
    <w:rsid w:val="00602DEB"/>
    <w:rsid w:val="008A2A4F"/>
    <w:rsid w:val="00913E49"/>
    <w:rsid w:val="00A06C03"/>
    <w:rsid w:val="00A554D1"/>
    <w:rsid w:val="00B42B1A"/>
    <w:rsid w:val="00B76262"/>
    <w:rsid w:val="00C07ABE"/>
    <w:rsid w:val="00C60A4F"/>
    <w:rsid w:val="00C77710"/>
    <w:rsid w:val="00D1675E"/>
    <w:rsid w:val="00D47D0E"/>
    <w:rsid w:val="00F61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E139DED"/>
  <w15:chartTrackingRefBased/>
  <w15:docId w15:val="{25CF850A-128A-E144-9E19-A2804FD8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Arial (Body CS)"/>
        <w:kern w:val="2"/>
        <w:sz w:val="24"/>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7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7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77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77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77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77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77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7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7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77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77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77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77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77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7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7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7710"/>
    <w:rPr>
      <w:i/>
      <w:iCs/>
      <w:color w:val="404040" w:themeColor="text1" w:themeTint="BF"/>
    </w:rPr>
  </w:style>
  <w:style w:type="paragraph" w:styleId="ListParagraph">
    <w:name w:val="List Paragraph"/>
    <w:basedOn w:val="Normal"/>
    <w:uiPriority w:val="34"/>
    <w:qFormat/>
    <w:rsid w:val="00C77710"/>
    <w:pPr>
      <w:ind w:left="720"/>
      <w:contextualSpacing/>
    </w:pPr>
  </w:style>
  <w:style w:type="character" w:styleId="IntenseEmphasis">
    <w:name w:val="Intense Emphasis"/>
    <w:basedOn w:val="DefaultParagraphFont"/>
    <w:uiPriority w:val="21"/>
    <w:qFormat/>
    <w:rsid w:val="00C77710"/>
    <w:rPr>
      <w:i/>
      <w:iCs/>
      <w:color w:val="0F4761" w:themeColor="accent1" w:themeShade="BF"/>
    </w:rPr>
  </w:style>
  <w:style w:type="paragraph" w:styleId="IntenseQuote">
    <w:name w:val="Intense Quote"/>
    <w:basedOn w:val="Normal"/>
    <w:next w:val="Normal"/>
    <w:link w:val="IntenseQuoteChar"/>
    <w:uiPriority w:val="30"/>
    <w:qFormat/>
    <w:rsid w:val="00C7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710"/>
    <w:rPr>
      <w:i/>
      <w:iCs/>
      <w:color w:val="0F4761" w:themeColor="accent1" w:themeShade="BF"/>
    </w:rPr>
  </w:style>
  <w:style w:type="character" w:styleId="IntenseReference">
    <w:name w:val="Intense Reference"/>
    <w:basedOn w:val="DefaultParagraphFont"/>
    <w:uiPriority w:val="32"/>
    <w:qFormat/>
    <w:rsid w:val="00C77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2976</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Yost</dc:creator>
  <cp:keywords/>
  <dc:description/>
  <cp:lastModifiedBy>Scott Yost</cp:lastModifiedBy>
  <cp:revision>1</cp:revision>
  <dcterms:created xsi:type="dcterms:W3CDTF">2026-03-18T17:52:00Z</dcterms:created>
  <dcterms:modified xsi:type="dcterms:W3CDTF">2026-03-19T17:03:00Z</dcterms:modified>
</cp:coreProperties>
</file>